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4F3" w:rsidRDefault="001A14F3">
      <w:r>
        <w:rPr>
          <w:rFonts w:ascii="Monotype Corsiva" w:hAnsi="Monotype Corsiva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88900</wp:posOffset>
            </wp:positionH>
            <wp:positionV relativeFrom="margin">
              <wp:posOffset>95250</wp:posOffset>
            </wp:positionV>
            <wp:extent cx="662305" cy="744855"/>
            <wp:effectExtent l="19050" t="0" r="4445" b="0"/>
            <wp:wrapSquare wrapText="bothSides"/>
            <wp:docPr id="2" name="Kép 2" descr="Ocsa_cimer_fejlé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csa_cimer_fejlé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744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A14F3" w:rsidRDefault="001A14F3">
      <w:pPr>
        <w:framePr w:hSpace="141" w:wrap="around" w:vAnchor="text" w:hAnchor="page" w:x="1723" w:y="27"/>
      </w:pPr>
    </w:p>
    <w:p w:rsidR="001A14F3" w:rsidRPr="007C1C3F" w:rsidRDefault="001A14F3" w:rsidP="0055635D">
      <w:pPr>
        <w:pStyle w:val="Kpalrs"/>
        <w:rPr>
          <w:rFonts w:ascii="Book Antiqua" w:hAnsi="Book Antiqua" w:cs="Microsoft Sans Serif"/>
          <w:sz w:val="48"/>
          <w:szCs w:val="48"/>
        </w:rPr>
      </w:pPr>
      <w:r>
        <w:rPr>
          <w:rFonts w:ascii="Book Antiqua" w:hAnsi="Book Antiqua" w:cs="Microsoft Sans Serif"/>
          <w:sz w:val="48"/>
          <w:szCs w:val="48"/>
        </w:rPr>
        <w:t>Ócsa Város Jegyzőj</w:t>
      </w:r>
      <w:r w:rsidRPr="007C1C3F">
        <w:rPr>
          <w:rFonts w:ascii="Book Antiqua" w:hAnsi="Book Antiqua" w:cs="Microsoft Sans Serif"/>
          <w:sz w:val="48"/>
          <w:szCs w:val="48"/>
        </w:rPr>
        <w:t>e</w:t>
      </w:r>
    </w:p>
    <w:p w:rsidR="001A14F3" w:rsidRPr="001E5EAC" w:rsidRDefault="001A14F3" w:rsidP="00E750AF">
      <w:pPr>
        <w:jc w:val="center"/>
        <w:rPr>
          <w:rFonts w:ascii="Book Antiqua" w:hAnsi="Book Antiqua"/>
          <w:sz w:val="20"/>
          <w:szCs w:val="20"/>
        </w:rPr>
      </w:pPr>
      <w:r w:rsidRPr="001E5EAC">
        <w:rPr>
          <w:rFonts w:ascii="Book Antiqua" w:hAnsi="Book Antiqua"/>
          <w:sz w:val="20"/>
          <w:szCs w:val="20"/>
        </w:rPr>
        <w:t>2364 Ócsa, Bajcsy</w:t>
      </w:r>
      <w:r>
        <w:rPr>
          <w:rFonts w:ascii="Book Antiqua" w:hAnsi="Book Antiqua"/>
          <w:sz w:val="20"/>
          <w:szCs w:val="20"/>
        </w:rPr>
        <w:t>-</w:t>
      </w:r>
      <w:r w:rsidRPr="001E5EAC">
        <w:rPr>
          <w:rFonts w:ascii="Book Antiqua" w:hAnsi="Book Antiqua"/>
          <w:sz w:val="20"/>
          <w:szCs w:val="20"/>
        </w:rPr>
        <w:t>Zs.u.</w:t>
      </w:r>
      <w:r>
        <w:rPr>
          <w:rFonts w:ascii="Book Antiqua" w:hAnsi="Book Antiqua"/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2.</w:t>
      </w:r>
    </w:p>
    <w:p w:rsidR="001A14F3" w:rsidRPr="0055635D" w:rsidRDefault="001A14F3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>Tel.: 29/378-102</w:t>
      </w:r>
      <w:r w:rsidRPr="001E5EAC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Fax: 29/378-067, E-mail: polghiv@ocsanet.hu</w:t>
      </w:r>
    </w:p>
    <w:p w:rsidR="001A14F3" w:rsidRDefault="001A14F3">
      <w:pPr>
        <w:pBdr>
          <w:bottom w:val="double" w:sz="6" w:space="1" w:color="auto"/>
        </w:pBdr>
        <w:rPr>
          <w:rFonts w:ascii="Britannic Bold" w:hAnsi="Britannic Bold"/>
        </w:rPr>
      </w:pPr>
    </w:p>
    <w:p w:rsidR="001A14F3" w:rsidRDefault="001A14F3"/>
    <w:p w:rsidR="00211FDE" w:rsidRDefault="00211FDE">
      <w:pPr>
        <w:jc w:val="center"/>
        <w:rPr>
          <w:rFonts w:cs="Tahoma"/>
          <w:b/>
          <w:bCs/>
        </w:rPr>
      </w:pPr>
    </w:p>
    <w:p w:rsidR="00211FDE" w:rsidRDefault="00211FDE">
      <w:pPr>
        <w:jc w:val="center"/>
        <w:rPr>
          <w:rFonts w:cs="Tahoma"/>
          <w:b/>
          <w:bCs/>
        </w:rPr>
      </w:pPr>
    </w:p>
    <w:p w:rsidR="00211FDE" w:rsidRDefault="00211FDE">
      <w:pPr>
        <w:jc w:val="center"/>
        <w:rPr>
          <w:rFonts w:cs="Tahoma"/>
          <w:b/>
          <w:bCs/>
        </w:rPr>
      </w:pPr>
    </w:p>
    <w:p w:rsidR="00211FDE" w:rsidRDefault="00022771">
      <w:pPr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E L Ő T E R J E S Z T É S</w:t>
      </w:r>
    </w:p>
    <w:p w:rsidR="00211FDE" w:rsidRDefault="00211FDE">
      <w:pPr>
        <w:jc w:val="center"/>
        <w:rPr>
          <w:rFonts w:cs="Tahoma"/>
          <w:b/>
          <w:bCs/>
        </w:rPr>
      </w:pPr>
    </w:p>
    <w:p w:rsidR="00211FDE" w:rsidRDefault="00022771">
      <w:pPr>
        <w:jc w:val="center"/>
        <w:rPr>
          <w:rFonts w:cs="Tahoma"/>
          <w:b/>
          <w:bCs/>
        </w:rPr>
      </w:pPr>
      <w:proofErr w:type="gramStart"/>
      <w:r>
        <w:rPr>
          <w:rFonts w:cs="Tahoma"/>
          <w:b/>
          <w:bCs/>
        </w:rPr>
        <w:t>a</w:t>
      </w:r>
      <w:proofErr w:type="gramEnd"/>
      <w:r>
        <w:rPr>
          <w:rFonts w:cs="Tahoma"/>
          <w:b/>
          <w:bCs/>
        </w:rPr>
        <w:t xml:space="preserve"> Képviselő</w:t>
      </w:r>
      <w:r w:rsidR="00F479AD">
        <w:rPr>
          <w:rFonts w:cs="Tahoma"/>
          <w:b/>
          <w:bCs/>
        </w:rPr>
        <w:t>-testület  2014. november 5-én</w:t>
      </w:r>
      <w:r>
        <w:rPr>
          <w:rFonts w:cs="Tahoma"/>
          <w:b/>
          <w:bCs/>
        </w:rPr>
        <w:t xml:space="preserve">  tartandó ülésére</w:t>
      </w:r>
    </w:p>
    <w:p w:rsidR="00211FDE" w:rsidRDefault="00211FDE">
      <w:pPr>
        <w:jc w:val="right"/>
        <w:rPr>
          <w:rFonts w:cs="Tahoma"/>
          <w:b/>
          <w:bCs/>
        </w:rPr>
      </w:pPr>
    </w:p>
    <w:p w:rsidR="00211FDE" w:rsidRDefault="00211FDE">
      <w:pPr>
        <w:jc w:val="right"/>
        <w:rPr>
          <w:rFonts w:cs="Tahoma"/>
          <w:b/>
          <w:bCs/>
        </w:rPr>
      </w:pPr>
    </w:p>
    <w:p w:rsidR="00211FDE" w:rsidRDefault="00211FDE">
      <w:pPr>
        <w:rPr>
          <w:rFonts w:cs="Tahoma"/>
          <w:b/>
          <w:bCs/>
        </w:rPr>
      </w:pPr>
    </w:p>
    <w:p w:rsidR="00211FDE" w:rsidRDefault="00022771">
      <w:pPr>
        <w:rPr>
          <w:rFonts w:cs="Tahoma"/>
          <w:b/>
          <w:bCs/>
        </w:rPr>
      </w:pPr>
      <w:r>
        <w:rPr>
          <w:rFonts w:cs="Tahoma"/>
          <w:b/>
          <w:bCs/>
        </w:rPr>
        <w:t>Tárgy:</w:t>
      </w:r>
      <w:r>
        <w:rPr>
          <w:rFonts w:cs="Tahoma"/>
          <w:b/>
          <w:bCs/>
        </w:rPr>
        <w:tab/>
        <w:t xml:space="preserve">2015. évi  belső ellenőrzési munkaterv </w:t>
      </w:r>
    </w:p>
    <w:p w:rsidR="00211FDE" w:rsidRDefault="00211FDE">
      <w:pPr>
        <w:jc w:val="center"/>
        <w:rPr>
          <w:rFonts w:cs="Tahoma"/>
          <w:b/>
          <w:bCs/>
        </w:rPr>
      </w:pP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jc w:val="both"/>
        <w:rPr>
          <w:rFonts w:cs="Tahoma"/>
          <w:i/>
          <w:iCs/>
        </w:rPr>
      </w:pPr>
      <w:r>
        <w:rPr>
          <w:rFonts w:cs="Tahoma"/>
          <w:i/>
          <w:iCs/>
        </w:rPr>
        <w:t>A 370/2011. (XII. 31.) Korm. rendelet (Ber.) 31. §-a alapján a költségvetési szerv belső ellenőrzési vezetője kockázatelemzés alapján éves ellenőrzési tervet készít. Amennyiben a költségvetési szerv nem  foglalkoztat belső ellenőrt, a költségvetési szerv vezetője köteles gondoskodni a költségvetési szerv belső ellenőrzésének külső erőforrás bevonásával történő megszervezéséről. Az erre vonatkozó megállapodásban rendelkezni kell arról, hogy a belső ellenőrzési vezetői tevékenységeket a külső erőforrás látja el.</w:t>
      </w:r>
    </w:p>
    <w:p w:rsidR="00211FDE" w:rsidRDefault="00211FDE">
      <w:pPr>
        <w:jc w:val="both"/>
        <w:rPr>
          <w:rFonts w:cs="Tahoma"/>
          <w:i/>
          <w:iCs/>
        </w:rPr>
      </w:pPr>
    </w:p>
    <w:p w:rsidR="00211FDE" w:rsidRDefault="00211FDE">
      <w:pPr>
        <w:jc w:val="both"/>
        <w:rPr>
          <w:rFonts w:cs="Tahoma"/>
          <w:i/>
          <w:iCs/>
        </w:rPr>
      </w:pPr>
    </w:p>
    <w:p w:rsidR="00211FDE" w:rsidRDefault="00022771">
      <w:pPr>
        <w:numPr>
          <w:ilvl w:val="0"/>
          <w:numId w:val="1"/>
        </w:numPr>
        <w:tabs>
          <w:tab w:val="left" w:pos="283"/>
        </w:tabs>
        <w:jc w:val="both"/>
        <w:rPr>
          <w:rFonts w:cs="Tahoma"/>
        </w:rPr>
      </w:pPr>
      <w:r>
        <w:rPr>
          <w:rFonts w:cs="Tahoma"/>
        </w:rPr>
        <w:t>A lehetséges ellenőrzési feladatok összeállítása után a felállított értékelési szempontok:</w:t>
      </w: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numPr>
          <w:ilvl w:val="0"/>
          <w:numId w:val="2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Ellenőrzési környezet</w:t>
      </w:r>
    </w:p>
    <w:p w:rsidR="00211FDE" w:rsidRDefault="00022771">
      <w:pPr>
        <w:numPr>
          <w:ilvl w:val="0"/>
          <w:numId w:val="2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Az ellenőrzés gyakorisága</w:t>
      </w:r>
    </w:p>
    <w:p w:rsidR="00211FDE" w:rsidRDefault="00022771">
      <w:pPr>
        <w:numPr>
          <w:ilvl w:val="0"/>
          <w:numId w:val="2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Kötelező ellenőrzések</w:t>
      </w:r>
    </w:p>
    <w:p w:rsidR="00211FDE" w:rsidRDefault="00022771">
      <w:pPr>
        <w:numPr>
          <w:ilvl w:val="0"/>
          <w:numId w:val="2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Pénzügyi hatás</w:t>
      </w:r>
    </w:p>
    <w:p w:rsidR="00211FDE" w:rsidRDefault="00022771">
      <w:pPr>
        <w:numPr>
          <w:ilvl w:val="0"/>
          <w:numId w:val="2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Dokumentált folyamatok</w:t>
      </w:r>
    </w:p>
    <w:p w:rsidR="00211FDE" w:rsidRDefault="00211FDE">
      <w:pPr>
        <w:ind w:left="1134"/>
        <w:jc w:val="both"/>
        <w:rPr>
          <w:rFonts w:cs="Tahoma"/>
        </w:rPr>
      </w:pPr>
    </w:p>
    <w:p w:rsidR="00211FDE" w:rsidRDefault="00211FDE">
      <w:pPr>
        <w:ind w:left="1134"/>
        <w:jc w:val="both"/>
        <w:rPr>
          <w:rFonts w:cs="Tahoma"/>
        </w:rPr>
      </w:pPr>
    </w:p>
    <w:p w:rsidR="00211FDE" w:rsidRDefault="00022771">
      <w:pPr>
        <w:numPr>
          <w:ilvl w:val="0"/>
          <w:numId w:val="3"/>
        </w:numPr>
        <w:tabs>
          <w:tab w:val="left" w:pos="283"/>
        </w:tabs>
        <w:jc w:val="both"/>
        <w:rPr>
          <w:rFonts w:cs="Tahoma"/>
          <w:b/>
          <w:bCs/>
        </w:rPr>
      </w:pPr>
      <w:r>
        <w:rPr>
          <w:rFonts w:cs="Tahoma"/>
        </w:rPr>
        <w:t>Pontrendszer kialakítása:</w:t>
      </w:r>
      <w:r>
        <w:rPr>
          <w:rFonts w:cs="Tahoma"/>
        </w:rPr>
        <w:tab/>
      </w:r>
      <w:r>
        <w:rPr>
          <w:rFonts w:cs="Tahoma"/>
          <w:b/>
          <w:bCs/>
        </w:rPr>
        <w:t>0-5-ig</w:t>
      </w:r>
    </w:p>
    <w:p w:rsidR="00211FDE" w:rsidRDefault="00211FDE">
      <w:pPr>
        <w:jc w:val="both"/>
        <w:rPr>
          <w:rFonts w:cs="Tahoma"/>
        </w:rPr>
      </w:pP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numPr>
          <w:ilvl w:val="0"/>
          <w:numId w:val="4"/>
        </w:numPr>
        <w:tabs>
          <w:tab w:val="left" w:pos="283"/>
        </w:tabs>
        <w:jc w:val="both"/>
        <w:rPr>
          <w:rFonts w:cs="Tahoma"/>
          <w:b/>
          <w:bCs/>
        </w:rPr>
      </w:pPr>
      <w:r>
        <w:rPr>
          <w:rFonts w:cs="Tahoma"/>
        </w:rPr>
        <w:t>Súlyozási érték, mely meghatározza az egyes kockázati tényezők rendszerekre gyakorolt hatását, egyben megkönnyíti a rangsorolást:</w:t>
      </w:r>
      <w:r>
        <w:rPr>
          <w:rFonts w:cs="Tahoma"/>
        </w:rPr>
        <w:tab/>
      </w:r>
      <w:r>
        <w:rPr>
          <w:rFonts w:cs="Tahoma"/>
          <w:b/>
          <w:bCs/>
        </w:rPr>
        <w:t>8-500-ig</w:t>
      </w:r>
    </w:p>
    <w:p w:rsidR="00211FDE" w:rsidRDefault="00211FDE">
      <w:pPr>
        <w:jc w:val="both"/>
        <w:rPr>
          <w:rFonts w:cs="Tahoma"/>
        </w:rPr>
      </w:pP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</w:rPr>
        <w:t>Az értékelési szempontok pontozása az alábbiak alapján történik:</w:t>
      </w: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  <w:b/>
          <w:bCs/>
        </w:rPr>
        <w:t>Ellenőrzési környezet (pontozás 0-5-ig, súlyszám: 8):</w:t>
      </w:r>
      <w:r>
        <w:rPr>
          <w:rFonts w:cs="Tahoma"/>
        </w:rPr>
        <w:t xml:space="preserve"> 5-öst adunk annak jelzésére, hogy a korábbi ellenőrzések jelentős szabálytalanságot, hibát tártak fel az adott területen. 0 jelzi, hogy nem ismeretes, illetve nem várható semmiféle ellenőrzési probléma.</w:t>
      </w: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  <w:b/>
          <w:bCs/>
        </w:rPr>
        <w:t xml:space="preserve">Az ellenőrzés gyakorisága (pontozás 0-5-ig, súlyszám 8): </w:t>
      </w:r>
      <w:r>
        <w:rPr>
          <w:rFonts w:cs="Tahoma"/>
        </w:rPr>
        <w:t>5-öst alkalmazunk annak jelzésére, hogy a területet célszerű évente ellenőrizni, 0 pontszám annak jelzésére, hogy ezt a területet egy éven belül ellenőriztük  és nincs újból előforduló követelmény.</w:t>
      </w:r>
    </w:p>
    <w:p w:rsidR="00211FDE" w:rsidRDefault="00211FDE">
      <w:pPr>
        <w:jc w:val="both"/>
        <w:rPr>
          <w:rFonts w:cs="Tahoma"/>
        </w:rPr>
      </w:pPr>
    </w:p>
    <w:p w:rsidR="00211FDE" w:rsidRDefault="001B05DD">
      <w:pPr>
        <w:jc w:val="right"/>
        <w:rPr>
          <w:rFonts w:cs="Tahoma"/>
        </w:rPr>
      </w:pPr>
      <w:r>
        <w:rPr>
          <w:rFonts w:cs="Tahoma"/>
        </w:rPr>
        <w:fldChar w:fldCharType="begin"/>
      </w:r>
      <w:r w:rsidR="00022771">
        <w:rPr>
          <w:rFonts w:cs="Tahoma"/>
        </w:rPr>
        <w:instrText xml:space="preserve"> PAGE </w:instrText>
      </w:r>
      <w:r>
        <w:rPr>
          <w:rFonts w:cs="Tahoma"/>
        </w:rPr>
        <w:fldChar w:fldCharType="separate"/>
      </w:r>
      <w:r w:rsidR="00F479AD">
        <w:rPr>
          <w:rFonts w:cs="Tahoma"/>
          <w:noProof/>
        </w:rPr>
        <w:t>2</w:t>
      </w:r>
      <w:r>
        <w:rPr>
          <w:rFonts w:cs="Tahoma"/>
        </w:rPr>
        <w:fldChar w:fldCharType="end"/>
      </w:r>
    </w:p>
    <w:p w:rsidR="00211FDE" w:rsidRDefault="00211FDE">
      <w:pPr>
        <w:jc w:val="right"/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  <w:b/>
          <w:bCs/>
        </w:rPr>
        <w:t>Kötelező ellenőrzések (pontozás 0-1-ig, súlyszám 500)</w:t>
      </w:r>
      <w:r>
        <w:rPr>
          <w:rFonts w:cs="Tahoma"/>
        </w:rPr>
        <w:t>: 1 pontot adunk, ha ezt ellenőrzési jogszabályi előírás követeli meg, 0-5 pont, ha a szervezet vezetője javasolja, egyébként 0 pont.</w:t>
      </w: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  <w:b/>
          <w:bCs/>
        </w:rPr>
        <w:t xml:space="preserve">Pénzügyi hatás (pontozás 0-5-ig, súlyszám 10): </w:t>
      </w:r>
      <w:r>
        <w:rPr>
          <w:rFonts w:cs="Tahoma"/>
        </w:rPr>
        <w:t>Annak jelzése, hogy e területnek milyen közvetlen  hatásai vannak a bevételek, illetve a költségek alakulására.</w:t>
      </w:r>
    </w:p>
    <w:p w:rsidR="00211FDE" w:rsidRDefault="00211FDE">
      <w:pPr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  <w:b/>
          <w:bCs/>
        </w:rPr>
        <w:t xml:space="preserve">Dokumentált folyamatok (pontozás 0-5-ig, súlyszám 10): </w:t>
      </w:r>
      <w:r>
        <w:rPr>
          <w:rFonts w:cs="Tahoma"/>
        </w:rPr>
        <w:t>5-öst alkalmazunk annak jelzésére, hogy nincsenek dokumentált folyamatok, tisztázatlanok a felelősségi körök (pl., szabályzatok, együttműködési megállapodások hiányossága).</w:t>
      </w: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</w:rPr>
        <w:t xml:space="preserve">A kockázati összpont-számot (végleges kockázati értéket) az adott pontok súlyozási értékkel való beszorzása adja ki. A csökkenő pontszámok szerinti sorba rendezés mutatja az ellenőrzési témák prioritását. </w:t>
      </w:r>
      <w:r>
        <w:rPr>
          <w:rFonts w:cs="Tahoma"/>
          <w:b/>
          <w:bCs/>
        </w:rPr>
        <w:t xml:space="preserve">Alacsony kockázat: </w:t>
      </w:r>
      <w:r>
        <w:rPr>
          <w:rFonts w:cs="Tahoma"/>
        </w:rPr>
        <w:t xml:space="preserve">0-36 kockázati érték, </w:t>
      </w:r>
      <w:r>
        <w:rPr>
          <w:rFonts w:cs="Tahoma"/>
          <w:b/>
          <w:bCs/>
        </w:rPr>
        <w:t>közepes kockázat:</w:t>
      </w:r>
      <w:r>
        <w:rPr>
          <w:rFonts w:cs="Tahoma"/>
        </w:rPr>
        <w:t xml:space="preserve"> 37-108 kockázati érték, </w:t>
      </w:r>
      <w:r>
        <w:rPr>
          <w:rFonts w:cs="Tahoma"/>
          <w:b/>
          <w:bCs/>
        </w:rPr>
        <w:t>magas kockázat:</w:t>
      </w:r>
      <w:r>
        <w:rPr>
          <w:rFonts w:cs="Tahoma"/>
        </w:rPr>
        <w:t xml:space="preserve"> 109 kockázati értéktől.</w:t>
      </w:r>
    </w:p>
    <w:p w:rsidR="00211FDE" w:rsidRDefault="00211FDE">
      <w:pPr>
        <w:jc w:val="both"/>
        <w:rPr>
          <w:rFonts w:cs="Tahoma"/>
        </w:rPr>
      </w:pP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</w:rPr>
        <w:t>Az összesítés után készíthető el az éves ellenőrzési terv, mely a tárgyévre tervezett ellenőrzéseket részletezi. A Ber. 31. § (4) bekezdése alapján az alábbiakat tartalmazza:</w:t>
      </w: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numPr>
          <w:ilvl w:val="0"/>
          <w:numId w:val="5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Az ellenőrzési tervet megalapozó elemzéseket, különös tekintettel a kockázatelemzésre;</w:t>
      </w:r>
    </w:p>
    <w:p w:rsidR="00211FDE" w:rsidRDefault="00022771">
      <w:pPr>
        <w:numPr>
          <w:ilvl w:val="0"/>
          <w:numId w:val="5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A tervezett ellenőrzések tárgyát;</w:t>
      </w:r>
    </w:p>
    <w:p w:rsidR="00211FDE" w:rsidRDefault="00022771">
      <w:pPr>
        <w:numPr>
          <w:ilvl w:val="0"/>
          <w:numId w:val="5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Az ellenőrzések célját;</w:t>
      </w:r>
    </w:p>
    <w:p w:rsidR="00211FDE" w:rsidRDefault="00022771">
      <w:pPr>
        <w:numPr>
          <w:ilvl w:val="0"/>
          <w:numId w:val="5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Az ellenőrizendő időszakot;</w:t>
      </w:r>
    </w:p>
    <w:p w:rsidR="00211FDE" w:rsidRDefault="00022771">
      <w:pPr>
        <w:numPr>
          <w:ilvl w:val="0"/>
          <w:numId w:val="5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A szükséges ellenőrzési kapacitás (erőforrás szükséglet) meghatározását;</w:t>
      </w:r>
    </w:p>
    <w:p w:rsidR="00211FDE" w:rsidRDefault="00022771">
      <w:pPr>
        <w:numPr>
          <w:ilvl w:val="0"/>
          <w:numId w:val="5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Az ellenőrzések típusát, módszereit;</w:t>
      </w:r>
    </w:p>
    <w:p w:rsidR="00211FDE" w:rsidRDefault="00022771">
      <w:pPr>
        <w:numPr>
          <w:ilvl w:val="0"/>
          <w:numId w:val="5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Az ellenőrzések ütemezését;</w:t>
      </w:r>
    </w:p>
    <w:p w:rsidR="00211FDE" w:rsidRDefault="00022771">
      <w:pPr>
        <w:numPr>
          <w:ilvl w:val="0"/>
          <w:numId w:val="5"/>
        </w:numPr>
        <w:tabs>
          <w:tab w:val="left" w:pos="1417"/>
        </w:tabs>
        <w:ind w:left="1417"/>
        <w:jc w:val="both"/>
        <w:rPr>
          <w:rFonts w:cs="Tahoma"/>
        </w:rPr>
      </w:pPr>
      <w:r>
        <w:rPr>
          <w:rFonts w:cs="Tahoma"/>
        </w:rPr>
        <w:t>Az ellenőrzött szerv, illetve szervezeti egységek megnevezését.</w:t>
      </w: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</w:rPr>
        <w:t>A tervezett ellenőrzések elvégzéséhez szükséges ellenőri nap az erőforrás-szükséglet felmérés alapján becsülhető meg. A belső ellenőrzési tervet, az erőforrás szükségletet,ezek esetleges időközi változásait a Képviselő-testület fogadja el.</w:t>
      </w: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</w:rPr>
        <w:t>Előterjesztésem  1. sz. melléklete tartalmazza a kockázatelemzést.</w:t>
      </w:r>
    </w:p>
    <w:p w:rsidR="00211FDE" w:rsidRDefault="00022771">
      <w:pPr>
        <w:jc w:val="both"/>
        <w:rPr>
          <w:rFonts w:cs="Tahoma"/>
        </w:rPr>
      </w:pPr>
      <w:r>
        <w:rPr>
          <w:rFonts w:cs="Tahoma"/>
        </w:rPr>
        <w:tab/>
        <w:t xml:space="preserve">        2. sz. melléklete tartalmazza a 2015. évi  ütemtervet.</w:t>
      </w:r>
    </w:p>
    <w:p w:rsidR="00211FDE" w:rsidRDefault="00022771">
      <w:pPr>
        <w:jc w:val="both"/>
        <w:rPr>
          <w:rFonts w:cs="Tahoma"/>
        </w:rPr>
      </w:pPr>
      <w:r>
        <w:rPr>
          <w:rFonts w:cs="Tahoma"/>
        </w:rPr>
        <w:tab/>
        <w:t xml:space="preserve">        3. sz. melléklete tartalmazza a belső ellenőrzés 2015. évi munkaidő mérlegét.</w:t>
      </w:r>
    </w:p>
    <w:p w:rsidR="00211FDE" w:rsidRDefault="00022771">
      <w:pPr>
        <w:jc w:val="both"/>
        <w:rPr>
          <w:rFonts w:cs="Tahoma"/>
        </w:rPr>
      </w:pPr>
      <w:r>
        <w:rPr>
          <w:rFonts w:cs="Tahoma"/>
        </w:rPr>
        <w:t xml:space="preserve">                           </w:t>
      </w: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</w:rPr>
        <w:t>Kérem a Tisztelt Képviselő-testületet szíveskedjék előterjesztésem megtárgyalni és a 2015. évi belső ellenőri ütemtervet elfogadni.</w:t>
      </w:r>
    </w:p>
    <w:p w:rsidR="00211FDE" w:rsidRDefault="00211FDE">
      <w:pPr>
        <w:ind w:left="1701"/>
        <w:rPr>
          <w:rFonts w:cs="Tahoma"/>
        </w:rPr>
      </w:pPr>
    </w:p>
    <w:p w:rsidR="00211FDE" w:rsidRDefault="00211FDE">
      <w:pPr>
        <w:jc w:val="both"/>
        <w:rPr>
          <w:rFonts w:cs="Tahoma"/>
        </w:rPr>
      </w:pPr>
    </w:p>
    <w:p w:rsidR="00211FDE" w:rsidRDefault="00022771">
      <w:pPr>
        <w:jc w:val="both"/>
        <w:rPr>
          <w:rFonts w:cs="Tahoma"/>
        </w:rPr>
      </w:pPr>
      <w:r>
        <w:rPr>
          <w:rFonts w:cs="Tahoma"/>
        </w:rPr>
        <w:t>Ócsa, 2014. ….....................................</w:t>
      </w:r>
    </w:p>
    <w:p w:rsidR="00211FDE" w:rsidRDefault="00211FDE">
      <w:pPr>
        <w:jc w:val="both"/>
        <w:rPr>
          <w:rFonts w:cs="Tahoma"/>
        </w:rPr>
      </w:pPr>
    </w:p>
    <w:p w:rsidR="001A14F3" w:rsidRPr="00D031EB" w:rsidRDefault="001A14F3">
      <w:pPr>
        <w:jc w:val="both"/>
      </w:pPr>
    </w:p>
    <w:p w:rsidR="001A14F3" w:rsidRDefault="001A14F3">
      <w:r w:rsidRPr="00953CD9">
        <w:tab/>
      </w:r>
      <w:r w:rsidRPr="00953CD9">
        <w:tab/>
      </w:r>
      <w:r w:rsidRPr="00953CD9">
        <w:tab/>
      </w:r>
      <w:r w:rsidRPr="00953CD9">
        <w:tab/>
      </w:r>
      <w:r w:rsidRPr="00953CD9">
        <w:tab/>
      </w:r>
      <w:r w:rsidRPr="00953CD9">
        <w:tab/>
        <w:t>Tisztelettel:</w:t>
      </w:r>
    </w:p>
    <w:p w:rsidR="001A14F3" w:rsidRPr="00953CD9" w:rsidRDefault="001A14F3"/>
    <w:p w:rsidR="001A14F3" w:rsidRPr="00953CD9" w:rsidRDefault="001A14F3"/>
    <w:p w:rsidR="00022771" w:rsidRPr="00EB44AC" w:rsidRDefault="001A14F3" w:rsidP="00EB44AC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dr.Szabó György </w:t>
      </w:r>
    </w:p>
    <w:sectPr w:rsidR="00022771" w:rsidRPr="00EB44AC" w:rsidSect="00211FDE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1A14F3"/>
    <w:rsid w:val="00022771"/>
    <w:rsid w:val="001A14F3"/>
    <w:rsid w:val="001B05DD"/>
    <w:rsid w:val="00211FDE"/>
    <w:rsid w:val="008316B2"/>
    <w:rsid w:val="00D031EB"/>
    <w:rsid w:val="00EB44AC"/>
    <w:rsid w:val="00F4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1FDE"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sid w:val="00211FDE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211FDE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211FDE"/>
  </w:style>
  <w:style w:type="character" w:customStyle="1" w:styleId="WW-Absatz-Standardschriftart">
    <w:name w:val="WW-Absatz-Standardschriftart"/>
    <w:rsid w:val="00211FDE"/>
  </w:style>
  <w:style w:type="character" w:customStyle="1" w:styleId="WW-Absatz-Standardschriftart1">
    <w:name w:val="WW-Absatz-Standardschriftart1"/>
    <w:rsid w:val="00211FDE"/>
  </w:style>
  <w:style w:type="character" w:customStyle="1" w:styleId="WW-Absatz-Standardschriftart11">
    <w:name w:val="WW-Absatz-Standardschriftart11"/>
    <w:rsid w:val="00211FDE"/>
  </w:style>
  <w:style w:type="character" w:customStyle="1" w:styleId="WW-Absatz-Standardschriftart111">
    <w:name w:val="WW-Absatz-Standardschriftart111"/>
    <w:rsid w:val="00211FDE"/>
  </w:style>
  <w:style w:type="character" w:customStyle="1" w:styleId="Lbjegyzet-karakterek">
    <w:name w:val="Lábjegyzet-karakterek"/>
    <w:rsid w:val="00211FDE"/>
  </w:style>
  <w:style w:type="character" w:customStyle="1" w:styleId="Szmozsjelek">
    <w:name w:val="Számozásjelek"/>
    <w:rsid w:val="00211FDE"/>
  </w:style>
  <w:style w:type="character" w:customStyle="1" w:styleId="Felsorolsjel">
    <w:name w:val="Felsorolásjel"/>
    <w:rsid w:val="00211FDE"/>
    <w:rPr>
      <w:rFonts w:ascii="StarSymbol" w:eastAsia="StarSymbol" w:hAnsi="StarSymbol" w:cs="StarSymbol"/>
      <w:sz w:val="18"/>
      <w:szCs w:val="18"/>
    </w:rPr>
  </w:style>
  <w:style w:type="character" w:customStyle="1" w:styleId="Vgjegyzet-karakterek">
    <w:name w:val="Végjegyzet-karakterek"/>
    <w:rsid w:val="00211FDE"/>
  </w:style>
  <w:style w:type="paragraph" w:customStyle="1" w:styleId="Cmsor">
    <w:name w:val="Címsor"/>
    <w:basedOn w:val="Norml"/>
    <w:next w:val="Szvegtrzs"/>
    <w:rsid w:val="00211FD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semiHidden/>
    <w:rsid w:val="00211FDE"/>
    <w:pPr>
      <w:spacing w:after="120"/>
    </w:pPr>
  </w:style>
  <w:style w:type="paragraph" w:styleId="Lista">
    <w:name w:val="List"/>
    <w:basedOn w:val="Szvegtrzs"/>
    <w:semiHidden/>
    <w:rsid w:val="00211FDE"/>
    <w:rPr>
      <w:rFonts w:cs="Tahoma"/>
    </w:rPr>
  </w:style>
  <w:style w:type="paragraph" w:customStyle="1" w:styleId="Felirat">
    <w:name w:val="Felirat"/>
    <w:basedOn w:val="Norml"/>
    <w:rsid w:val="00211FDE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rsid w:val="00211FDE"/>
    <w:pPr>
      <w:suppressLineNumbers/>
    </w:pPr>
    <w:rPr>
      <w:rFonts w:cs="Tahoma"/>
    </w:rPr>
  </w:style>
  <w:style w:type="paragraph" w:styleId="Kpalrs">
    <w:name w:val="caption"/>
    <w:aliases w:val="bekezdés"/>
    <w:basedOn w:val="Norml"/>
    <w:next w:val="Norml"/>
    <w:qFormat/>
    <w:rsid w:val="001A14F3"/>
    <w:pPr>
      <w:widowControl/>
      <w:suppressAutoHyphens w:val="0"/>
      <w:jc w:val="center"/>
    </w:pPr>
    <w:rPr>
      <w:rFonts w:ascii="Britannic Bold" w:eastAsia="Times New Roman" w:hAnsi="Britannic Bold"/>
      <w:b/>
      <w:color w:val="auto"/>
      <w:sz w:val="32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16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16B2"/>
    <w:rPr>
      <w:rFonts w:ascii="Tahoma" w:eastAsia="Lucida Sans Unicode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3427</Characters>
  <Application>Microsoft Office Word</Application>
  <DocSecurity>0</DocSecurity>
  <Lines>28</Lines>
  <Paragraphs>7</Paragraphs>
  <ScaleCrop>false</ScaleCrop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cp:lastModifiedBy>Marika</cp:lastModifiedBy>
  <cp:revision>7</cp:revision>
  <cp:lastPrinted>2014-10-28T09:27:00Z</cp:lastPrinted>
  <dcterms:created xsi:type="dcterms:W3CDTF">2014-10-27T10:44:00Z</dcterms:created>
  <dcterms:modified xsi:type="dcterms:W3CDTF">2014-10-28T09:28:00Z</dcterms:modified>
</cp:coreProperties>
</file>